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29" w:rsidRPr="00F665E9" w:rsidRDefault="002912EE" w:rsidP="00F665E9">
      <w:pPr>
        <w:spacing w:after="158"/>
        <w:rPr>
          <w:b/>
          <w:i/>
          <w:color w:val="002060"/>
          <w:sz w:val="24"/>
          <w:u w:color="000000"/>
        </w:rPr>
      </w:pPr>
      <w:r>
        <w:t xml:space="preserve"> </w:t>
      </w:r>
      <w:r w:rsidR="002C068C" w:rsidRPr="00030343">
        <w:rPr>
          <w:b/>
          <w:color w:val="002060"/>
          <w:sz w:val="24"/>
          <w:u w:color="000000"/>
        </w:rPr>
        <w:t xml:space="preserve">APPOINTMNET OF ASSISSTANT PROFESSOR VIDE ADVERTISEMENT IN </w:t>
      </w:r>
      <w:r w:rsidR="00954F21">
        <w:rPr>
          <w:b/>
          <w:color w:val="002060"/>
          <w:sz w:val="24"/>
          <w:u w:color="000000"/>
        </w:rPr>
        <w:t xml:space="preserve">THE </w:t>
      </w:r>
      <w:r w:rsidR="002C068C" w:rsidRPr="00030343">
        <w:rPr>
          <w:b/>
          <w:color w:val="002060"/>
          <w:sz w:val="24"/>
          <w:u w:color="000000"/>
        </w:rPr>
        <w:t xml:space="preserve">INDIAN EXPRESS AND LOKSATTA </w:t>
      </w:r>
      <w:r w:rsidR="00954F21">
        <w:rPr>
          <w:b/>
          <w:color w:val="002060"/>
          <w:sz w:val="24"/>
          <w:u w:color="000000"/>
        </w:rPr>
        <w:t xml:space="preserve">NEWSPAPERS </w:t>
      </w:r>
      <w:r w:rsidR="002C068C" w:rsidRPr="00F665E9">
        <w:rPr>
          <w:b/>
          <w:color w:val="002060"/>
          <w:sz w:val="24"/>
          <w:u w:color="000000"/>
        </w:rPr>
        <w:t>DATED</w:t>
      </w:r>
      <w:r w:rsidR="002C068C" w:rsidRPr="00F665E9">
        <w:rPr>
          <w:b/>
          <w:color w:val="002060"/>
          <w:sz w:val="24"/>
        </w:rPr>
        <w:t xml:space="preserve"> </w:t>
      </w:r>
      <w:r w:rsidR="00D26A4E" w:rsidRPr="00F665E9">
        <w:rPr>
          <w:b/>
          <w:color w:val="002060"/>
          <w:sz w:val="24"/>
          <w:u w:color="000000"/>
        </w:rPr>
        <w:t>12/11</w:t>
      </w:r>
      <w:r w:rsidR="00030343" w:rsidRPr="00F665E9">
        <w:rPr>
          <w:b/>
          <w:color w:val="002060"/>
          <w:sz w:val="24"/>
          <w:u w:color="000000"/>
        </w:rPr>
        <w:t>/2025</w:t>
      </w:r>
      <w:r w:rsidR="00954F21" w:rsidRPr="00F665E9">
        <w:rPr>
          <w:b/>
          <w:color w:val="002060"/>
          <w:sz w:val="24"/>
          <w:u w:color="000000"/>
        </w:rPr>
        <w:t>.</w:t>
      </w:r>
      <w:r w:rsidR="002C068C" w:rsidRPr="00F665E9">
        <w:rPr>
          <w:b/>
          <w:color w:val="002060"/>
          <w:sz w:val="24"/>
          <w:u w:color="000000"/>
        </w:rPr>
        <w:t xml:space="preserve"> </w:t>
      </w:r>
    </w:p>
    <w:p w:rsidR="0022383C" w:rsidRPr="00030343" w:rsidRDefault="002C068C" w:rsidP="00A36229">
      <w:pPr>
        <w:pStyle w:val="IntenseQuote"/>
        <w:spacing w:before="0" w:after="0"/>
        <w:rPr>
          <w:b/>
          <w:i w:val="0"/>
          <w:color w:val="002060"/>
          <w:sz w:val="24"/>
        </w:rPr>
      </w:pPr>
      <w:r w:rsidRPr="00030343">
        <w:rPr>
          <w:b/>
          <w:i w:val="0"/>
          <w:color w:val="002060"/>
          <w:sz w:val="24"/>
          <w:u w:color="000000"/>
        </w:rPr>
        <w:t>SELF-FINANCE/U</w:t>
      </w:r>
      <w:r w:rsidR="00954F21">
        <w:rPr>
          <w:b/>
          <w:i w:val="0"/>
          <w:color w:val="002060"/>
          <w:sz w:val="24"/>
          <w:u w:color="000000"/>
        </w:rPr>
        <w:t xml:space="preserve">NAIDED SECTION - </w:t>
      </w:r>
      <w:r w:rsidR="00A0491B" w:rsidRPr="00030343">
        <w:rPr>
          <w:b/>
          <w:i w:val="0"/>
          <w:color w:val="002060"/>
          <w:sz w:val="24"/>
          <w:u w:color="000000"/>
        </w:rPr>
        <w:t>FROM THE A</w:t>
      </w:r>
      <w:r w:rsidR="00954F21">
        <w:rPr>
          <w:b/>
          <w:i w:val="0"/>
          <w:color w:val="002060"/>
          <w:sz w:val="24"/>
          <w:u w:color="000000"/>
        </w:rPr>
        <w:t>.</w:t>
      </w:r>
      <w:r w:rsidR="00A0491B" w:rsidRPr="00030343">
        <w:rPr>
          <w:b/>
          <w:i w:val="0"/>
          <w:color w:val="002060"/>
          <w:sz w:val="24"/>
          <w:u w:color="000000"/>
        </w:rPr>
        <w:t>Y</w:t>
      </w:r>
      <w:r w:rsidR="00954F21">
        <w:rPr>
          <w:b/>
          <w:i w:val="0"/>
          <w:color w:val="002060"/>
          <w:sz w:val="24"/>
          <w:u w:color="000000"/>
        </w:rPr>
        <w:t>.</w:t>
      </w:r>
      <w:r w:rsidR="00A0491B" w:rsidRPr="00030343">
        <w:rPr>
          <w:b/>
          <w:i w:val="0"/>
          <w:color w:val="002060"/>
          <w:sz w:val="24"/>
          <w:u w:color="000000"/>
        </w:rPr>
        <w:t xml:space="preserve"> 2025-</w:t>
      </w:r>
      <w:r w:rsidR="00954F21">
        <w:rPr>
          <w:b/>
          <w:i w:val="0"/>
          <w:color w:val="002060"/>
          <w:sz w:val="24"/>
          <w:u w:color="000000"/>
        </w:rPr>
        <w:t>20</w:t>
      </w:r>
      <w:r w:rsidR="00A0491B" w:rsidRPr="00030343">
        <w:rPr>
          <w:b/>
          <w:i w:val="0"/>
          <w:color w:val="002060"/>
          <w:sz w:val="24"/>
          <w:u w:color="000000"/>
        </w:rPr>
        <w:t>26</w:t>
      </w:r>
      <w:r w:rsidRPr="00030343">
        <w:rPr>
          <w:b/>
          <w:i w:val="0"/>
          <w:color w:val="002060"/>
          <w:sz w:val="24"/>
        </w:rPr>
        <w:t xml:space="preserve"> </w:t>
      </w:r>
    </w:p>
    <w:p w:rsidR="0022383C" w:rsidRDefault="002912EE">
      <w:pPr>
        <w:spacing w:after="158"/>
        <w:jc w:val="both"/>
        <w:rPr>
          <w:b/>
        </w:rPr>
      </w:pPr>
      <w:r>
        <w:rPr>
          <w:b/>
          <w:shd w:val="clear" w:color="auto" w:fill="FFFF00"/>
        </w:rPr>
        <w:t>Filling physical APPLICATION form and Google form is mandatory. Physical APPLICATION form with documents</w:t>
      </w:r>
      <w:r>
        <w:rPr>
          <w:b/>
        </w:rPr>
        <w:t xml:space="preserve"> </w:t>
      </w:r>
      <w:r>
        <w:rPr>
          <w:b/>
          <w:shd w:val="clear" w:color="auto" w:fill="FFFF00"/>
        </w:rPr>
        <w:t>is to be submitted to the college office on or before the last date. Google form is also required to be filled by</w:t>
      </w:r>
      <w:r>
        <w:rPr>
          <w:b/>
        </w:rPr>
        <w:t xml:space="preserve"> </w:t>
      </w:r>
      <w:r>
        <w:rPr>
          <w:b/>
          <w:shd w:val="clear" w:color="auto" w:fill="FFFF00"/>
        </w:rPr>
        <w:t>the aspiring candidate/s. Physical APPLICATION form must be typed.</w:t>
      </w:r>
      <w:r>
        <w:rPr>
          <w:b/>
        </w:rPr>
        <w:t xml:space="preserve"> </w:t>
      </w:r>
    </w:p>
    <w:tbl>
      <w:tblPr>
        <w:tblStyle w:val="GridTable4-Accent6"/>
        <w:tblpPr w:leftFromText="180" w:rightFromText="180" w:vertAnchor="text" w:horzAnchor="margin" w:tblpY="2853"/>
        <w:tblW w:w="9957" w:type="dxa"/>
        <w:tblLook w:val="04A0" w:firstRow="1" w:lastRow="0" w:firstColumn="1" w:lastColumn="0" w:noHBand="0" w:noVBand="1"/>
      </w:tblPr>
      <w:tblGrid>
        <w:gridCol w:w="9957"/>
      </w:tblGrid>
      <w:tr w:rsidR="00882B35" w:rsidTr="00D26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7" w:type="dxa"/>
            <w:tcBorders>
              <w:top w:val="single" w:sz="12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</w:tcPr>
          <w:p w:rsidR="00882B35" w:rsidRDefault="00882B35" w:rsidP="00D26A4E">
            <w:pPr>
              <w:spacing w:after="39"/>
              <w:ind w:right="37"/>
              <w:jc w:val="both"/>
            </w:pPr>
            <w:r>
              <w:rPr>
                <w:sz w:val="18"/>
              </w:rPr>
              <w:t xml:space="preserve">A minimum of 55% marks (or an equivalent grade in a point-scale, wherever the grading system is followed) at the Master’s level shall be the essential qualification for direct recruitment of teachers and other equivalent cadres at any level. I. A relaxation of 5% shall be allowed at the Bachelor’s as well as at the Master‘s level for the candidates belonging to Scheduled Caste/Scheduled Tribe/Other Backward Classes (OBC)(Non-creamy Layer)/Differently- abled ((a) Blindness and low vision; (b) Deaf and Hard of Hearing; (c) Locomotor disability including cerebral palsy, leprosy cured, dwarfism, acid-attack victims and muscular dystrophy; (d) Autism, intellectual disability, specific learning disability and mental illness; (e) Multiple disabilities from amongst persons under (a) to (d) including deaf blindness) for the purpose of eligibility and assessing good academic record for direct recruitment. The eligibility marks of 55% marks (or an equivalent grade in a point scale wherever the grading system is followed) and the relaxation of 5% to the categories mentioned above are permissible, based only on the qualifying marks without including any grace mark procedure.  </w:t>
            </w:r>
          </w:p>
          <w:p w:rsidR="00882B35" w:rsidRDefault="00882B35" w:rsidP="00D26A4E">
            <w:pPr>
              <w:numPr>
                <w:ilvl w:val="0"/>
                <w:numId w:val="1"/>
              </w:numPr>
              <w:spacing w:after="40" w:line="239" w:lineRule="auto"/>
              <w:ind w:hanging="360"/>
            </w:pPr>
            <w:r>
              <w:rPr>
                <w:sz w:val="18"/>
              </w:rPr>
              <w:t xml:space="preserve">A relaxation of 5% shall be provided, (from 55% to 50% of the marks) to the Ph.D. Degree holders who have obtained their master’s degree prior to19 September 1991. </w:t>
            </w:r>
          </w:p>
          <w:p w:rsidR="00882B35" w:rsidRDefault="00882B35" w:rsidP="00D26A4E">
            <w:pPr>
              <w:numPr>
                <w:ilvl w:val="0"/>
                <w:numId w:val="1"/>
              </w:numPr>
              <w:ind w:hanging="360"/>
            </w:pPr>
            <w:r>
              <w:rPr>
                <w:sz w:val="18"/>
              </w:rPr>
              <w:t xml:space="preserve">A relevant grade which is regarded as equivalent of 55%, wherever the grading system is followed by a recognized university, at the Master’s level shall also be considered valid. </w:t>
            </w:r>
          </w:p>
        </w:tc>
      </w:tr>
      <w:tr w:rsidR="00882B35" w:rsidTr="00D2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7" w:type="dxa"/>
            <w:tcBorders>
              <w:top w:val="single" w:sz="12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C5E0B3" w:themeFill="accent6" w:themeFillTint="66"/>
          </w:tcPr>
          <w:p w:rsidR="00882B35" w:rsidRDefault="00882B35" w:rsidP="00D26A4E">
            <w:r>
              <w:rPr>
                <w:i/>
                <w:sz w:val="32"/>
              </w:rPr>
              <w:t>*</w:t>
            </w:r>
            <w:r>
              <w:rPr>
                <w:i/>
                <w:sz w:val="18"/>
              </w:rPr>
              <w:t xml:space="preserve">Provided </w:t>
            </w:r>
            <w:r>
              <w:rPr>
                <w:sz w:val="18"/>
              </w:rPr>
              <w:t xml:space="preserve">that candidates who have been awarded a Ph.D. Degree in accordance with the University Grants Commission (Minimum </w:t>
            </w:r>
          </w:p>
          <w:p w:rsidR="00882B35" w:rsidRDefault="00882B35" w:rsidP="00D26A4E">
            <w:pPr>
              <w:spacing w:after="2" w:line="239" w:lineRule="auto"/>
              <w:ind w:right="38"/>
              <w:jc w:val="both"/>
            </w:pPr>
            <w:r>
              <w:rPr>
                <w:sz w:val="18"/>
              </w:rPr>
              <w:t>Standards and Procedure for Award of M.Phil</w:t>
            </w:r>
            <w:proofErr w:type="gramStart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 xml:space="preserve">Ph.D. Degree) Regulation, 2009, or the University Grants Commission (Minimum Standards and Procedure for Award of M. Phil/Ph.D. Degree) Regulation, 2016, and their subsequent amendments from time to time, as the case may be, shall be exempted from the requirement of the minimum eligibility condition of NET /SET for recruitment and appointment of Assistant Professor or any equivalent position in any University, College or Institution. </w:t>
            </w:r>
          </w:p>
          <w:p w:rsidR="00D50556" w:rsidRDefault="00882B35" w:rsidP="00D26A4E">
            <w:pPr>
              <w:spacing w:after="1"/>
              <w:ind w:right="41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Provided </w:t>
            </w:r>
            <w:r>
              <w:rPr>
                <w:sz w:val="18"/>
              </w:rPr>
              <w:t xml:space="preserve">further that the award of degree to candidates registered for the M. Phil/Ph.D.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prior to July 11, 2009, shall be governed by the provisions of the then existing Ordinances / Byelaws / Regulations of the Institutions awarding the degree. All such Ph.D. candidates shall be exempted from the requirement of NET/ SET for recruitment and appointment of Assistant Professor or equivalent positions in Universities/ Colleges/Institutions subject to the fulfilment of the following conditions:</w:t>
            </w:r>
          </w:p>
          <w:p w:rsidR="00882B35" w:rsidRDefault="00882B35" w:rsidP="00D26A4E">
            <w:pPr>
              <w:spacing w:after="1"/>
              <w:ind w:right="41"/>
              <w:jc w:val="both"/>
            </w:pPr>
            <w:r>
              <w:rPr>
                <w:sz w:val="18"/>
              </w:rPr>
              <w:t xml:space="preserve">a) The Ph.D. degree of the candidate has been awarded in regular mode only. </w:t>
            </w:r>
          </w:p>
          <w:p w:rsidR="00882B35" w:rsidRDefault="00882B35" w:rsidP="00D26A4E">
            <w:pPr>
              <w:numPr>
                <w:ilvl w:val="0"/>
                <w:numId w:val="2"/>
              </w:numPr>
              <w:ind w:right="3239"/>
            </w:pPr>
            <w:r>
              <w:rPr>
                <w:sz w:val="18"/>
              </w:rPr>
              <w:t xml:space="preserve">The Ph.D. thesis has been evaluated by at least two examiners. </w:t>
            </w:r>
          </w:p>
          <w:p w:rsidR="00882B35" w:rsidRDefault="00882B35" w:rsidP="00D26A4E">
            <w:pPr>
              <w:numPr>
                <w:ilvl w:val="0"/>
                <w:numId w:val="2"/>
              </w:numPr>
              <w:ind w:right="3239"/>
            </w:pPr>
            <w:r>
              <w:rPr>
                <w:sz w:val="18"/>
              </w:rPr>
              <w:t xml:space="preserve">An open Ph.D. viva voce of the candidate has been conducted. </w:t>
            </w:r>
          </w:p>
          <w:p w:rsidR="00882B35" w:rsidRDefault="00882B35" w:rsidP="00D26A4E">
            <w:pPr>
              <w:numPr>
                <w:ilvl w:val="0"/>
                <w:numId w:val="2"/>
              </w:numPr>
              <w:spacing w:after="2" w:line="239" w:lineRule="auto"/>
              <w:ind w:right="-59"/>
            </w:pPr>
            <w:r>
              <w:rPr>
                <w:sz w:val="18"/>
              </w:rPr>
              <w:t xml:space="preserve">The candidate has published two research papers from his/her Ph.D. work, out of which at least one is in a refereed </w:t>
            </w:r>
            <w:r w:rsidR="00D50556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journal; and </w:t>
            </w:r>
          </w:p>
          <w:p w:rsidR="00882B35" w:rsidRDefault="00882B35" w:rsidP="00D26A4E">
            <w:pPr>
              <w:numPr>
                <w:ilvl w:val="0"/>
                <w:numId w:val="2"/>
              </w:numPr>
              <w:spacing w:after="1"/>
              <w:ind w:right="3239"/>
            </w:pPr>
            <w:r>
              <w:rPr>
                <w:sz w:val="18"/>
              </w:rPr>
              <w:t xml:space="preserve">The candidate has presented at least two papers, based on his/her Ph.D. work in conferences/seminars/sponsored/funded/supported by the UGC/ICSSR/CSIR or any similar agency. </w:t>
            </w:r>
          </w:p>
          <w:p w:rsidR="00882B35" w:rsidRDefault="00882B35" w:rsidP="00D26A4E">
            <w:pPr>
              <w:jc w:val="both"/>
            </w:pPr>
            <w:r>
              <w:rPr>
                <w:sz w:val="18"/>
              </w:rPr>
              <w:t xml:space="preserve">(Please refer the GR no Misc-2018/C.R. 56/18/UNI-1 dated 19/3/2022 and corrigendum GR Misc-2018/C.R. 56/18/UNI-1 dated 10/5/2022 for details qualification which is final and binding) </w:t>
            </w:r>
          </w:p>
        </w:tc>
      </w:tr>
    </w:tbl>
    <w:p w:rsidR="005623B9" w:rsidRPr="00017FDE" w:rsidRDefault="000A5DDC">
      <w:pPr>
        <w:spacing w:after="2185"/>
        <w:rPr>
          <w:b/>
          <w:color w:val="FF000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17FDE">
        <w:rPr>
          <w:b/>
          <w:color w:val="FF000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Details Qualification:</w:t>
      </w:r>
      <w:r w:rsidR="00CC5147">
        <w:rPr>
          <w:b/>
          <w:color w:val="FF000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tbl>
      <w:tblPr>
        <w:tblStyle w:val="GridTable1Light"/>
        <w:tblpPr w:vertAnchor="text" w:tblpX="5" w:tblpY="-2468"/>
        <w:tblW w:w="10042" w:type="dxa"/>
        <w:tblLook w:val="04A0" w:firstRow="1" w:lastRow="0" w:firstColumn="1" w:lastColumn="0" w:noHBand="0" w:noVBand="1"/>
      </w:tblPr>
      <w:tblGrid>
        <w:gridCol w:w="4142"/>
        <w:gridCol w:w="5900"/>
      </w:tblGrid>
      <w:tr w:rsidR="004C0475" w:rsidTr="00A5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472C4" w:themeColor="accent5"/>
            </w:tcBorders>
            <w:shd w:val="clear" w:color="auto" w:fill="auto"/>
          </w:tcPr>
          <w:p w:rsidR="005623B9" w:rsidRPr="006C4086" w:rsidRDefault="005623B9" w:rsidP="00FB4BF3">
            <w:pPr>
              <w:ind w:left="2"/>
              <w:rPr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4086">
              <w:rPr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PREFERRED AREA OF SPECIALISATION </w:t>
            </w:r>
          </w:p>
        </w:tc>
        <w:tc>
          <w:tcPr>
            <w:tcW w:w="5900" w:type="dxa"/>
            <w:tcBorders>
              <w:top w:val="single" w:sz="4" w:space="0" w:color="auto"/>
              <w:left w:val="double" w:sz="4" w:space="0" w:color="4472C4" w:themeColor="accent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9" w:rsidRPr="006C4086" w:rsidRDefault="00017FDE" w:rsidP="00FB4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4086">
              <w:rPr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QUALIFICATION </w:t>
            </w:r>
          </w:p>
        </w:tc>
      </w:tr>
      <w:tr w:rsidR="00B942CC" w:rsidRPr="00B942CC" w:rsidTr="00A57A4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472C4" w:themeColor="accent5"/>
            </w:tcBorders>
            <w:shd w:val="clear" w:color="auto" w:fill="auto"/>
          </w:tcPr>
          <w:p w:rsidR="00D26A4E" w:rsidRPr="00446C95" w:rsidRDefault="00F665E9" w:rsidP="00F665E9">
            <w:pPr>
              <w:tabs>
                <w:tab w:val="left" w:pos="3105"/>
              </w:tabs>
              <w:jc w:val="both"/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6C95"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ACCOUNTING &amp; FINANCE</w:t>
            </w:r>
            <w:r w:rsidRPr="00446C95"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  <w:tc>
          <w:tcPr>
            <w:tcW w:w="5900" w:type="dxa"/>
            <w:tcBorders>
              <w:top w:val="single" w:sz="4" w:space="0" w:color="auto"/>
              <w:left w:val="double" w:sz="4" w:space="0" w:color="4472C4" w:themeColor="accent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4E" w:rsidRPr="00B942CC" w:rsidRDefault="00B942CC" w:rsidP="00B942CC">
            <w:pPr>
              <w:tabs>
                <w:tab w:val="right" w:pos="56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C009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42CC">
              <w:rPr>
                <w:b/>
                <w:color w:val="CC0099"/>
              </w:rPr>
              <w:t>PG in Commerce/ Accountancy/ Management with NET/SET/Ph.D.*</w:t>
            </w:r>
          </w:p>
        </w:tc>
      </w:tr>
      <w:tr w:rsidR="00D26A4E" w:rsidRPr="00B942CC" w:rsidTr="00A57A4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472C4" w:themeColor="accent5"/>
            </w:tcBorders>
            <w:shd w:val="clear" w:color="auto" w:fill="auto"/>
          </w:tcPr>
          <w:p w:rsidR="00D26A4E" w:rsidRPr="00446C95" w:rsidRDefault="00F665E9" w:rsidP="00FB4BF3">
            <w:pPr>
              <w:ind w:left="2"/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6C95"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FINANCE &amp; COMMERCE</w:t>
            </w:r>
          </w:p>
        </w:tc>
        <w:tc>
          <w:tcPr>
            <w:tcW w:w="5900" w:type="dxa"/>
            <w:tcBorders>
              <w:top w:val="single" w:sz="4" w:space="0" w:color="auto"/>
              <w:left w:val="double" w:sz="4" w:space="0" w:color="4472C4" w:themeColor="accent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4E" w:rsidRPr="00B942CC" w:rsidRDefault="00B942CC" w:rsidP="00FB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C009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42CC">
              <w:rPr>
                <w:b/>
                <w:color w:val="CC0099"/>
              </w:rPr>
              <w:t>PG in Commerce/ Accountancy/ Management with NET/SET/Ph.D.*</w:t>
            </w:r>
          </w:p>
        </w:tc>
      </w:tr>
      <w:tr w:rsidR="004C0475" w:rsidTr="00D26A4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472C4" w:themeColor="accent5"/>
            </w:tcBorders>
            <w:shd w:val="clear" w:color="auto" w:fill="auto"/>
          </w:tcPr>
          <w:p w:rsidR="005623B9" w:rsidRPr="00F665E9" w:rsidRDefault="00446C95" w:rsidP="00446C95">
            <w:pPr>
              <w:tabs>
                <w:tab w:val="left" w:pos="735"/>
                <w:tab w:val="center" w:pos="1964"/>
              </w:tabs>
              <w:ind w:left="2"/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CLINICAL SPECIALIZATION</w:t>
            </w:r>
          </w:p>
        </w:tc>
        <w:tc>
          <w:tcPr>
            <w:tcW w:w="5900" w:type="dxa"/>
            <w:tcBorders>
              <w:top w:val="single" w:sz="4" w:space="0" w:color="auto"/>
              <w:left w:val="double" w:sz="4" w:space="0" w:color="4472C4" w:themeColor="accent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9" w:rsidRPr="00446C95" w:rsidRDefault="00446C95" w:rsidP="0044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33CC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6C95">
              <w:rPr>
                <w:b/>
                <w:color w:val="FF339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PG in Arts with NET/SET/</w:t>
            </w:r>
            <w:proofErr w:type="spellStart"/>
            <w:r w:rsidRPr="00446C95">
              <w:rPr>
                <w:b/>
                <w:color w:val="FF339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Ph.D</w:t>
            </w:r>
            <w:proofErr w:type="spellEnd"/>
            <w:r w:rsidRPr="00446C95">
              <w:rPr>
                <w:b/>
                <w:color w:val="FF339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bookmarkStart w:id="0" w:name="_GoBack"/>
            <w:bookmarkEnd w:id="0"/>
          </w:p>
        </w:tc>
      </w:tr>
    </w:tbl>
    <w:p w:rsidR="005623B9" w:rsidRDefault="005623B9">
      <w:pPr>
        <w:spacing w:after="2185"/>
        <w:rPr>
          <w:b/>
        </w:rPr>
      </w:pPr>
    </w:p>
    <w:p w:rsidR="005623B9" w:rsidRDefault="005623B9">
      <w:pPr>
        <w:spacing w:after="2185"/>
        <w:rPr>
          <w:b/>
        </w:rPr>
      </w:pPr>
    </w:p>
    <w:p w:rsidR="005623B9" w:rsidRDefault="005623B9">
      <w:pPr>
        <w:spacing w:after="2185"/>
      </w:pPr>
    </w:p>
    <w:p w:rsidR="0022383C" w:rsidRPr="00E85832" w:rsidRDefault="0022383C" w:rsidP="003634BA">
      <w:pPr>
        <w:rPr>
          <w:b/>
        </w:rPr>
      </w:pPr>
    </w:p>
    <w:p w:rsidR="0022383C" w:rsidRDefault="002912EE">
      <w:r>
        <w:t xml:space="preserve"> </w:t>
      </w:r>
    </w:p>
    <w:p w:rsidR="0022383C" w:rsidRDefault="002912EE">
      <w:pPr>
        <w:spacing w:after="0"/>
      </w:pPr>
      <w:r>
        <w:t xml:space="preserve"> </w:t>
      </w:r>
    </w:p>
    <w:sectPr w:rsidR="0022383C">
      <w:pgSz w:w="11906" w:h="16838"/>
      <w:pgMar w:top="1440" w:right="902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4605"/>
    <w:multiLevelType w:val="hybridMultilevel"/>
    <w:tmpl w:val="F156FA4E"/>
    <w:lvl w:ilvl="0" w:tplc="1F929552">
      <w:start w:val="2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1AA95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ECA8E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EA6AB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D0B48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D6D12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D0EBE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90561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8A70D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5124A0"/>
    <w:multiLevelType w:val="hybridMultilevel"/>
    <w:tmpl w:val="AB602880"/>
    <w:lvl w:ilvl="0" w:tplc="FF005A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A6366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02407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1405E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E83E2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BEFF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C2CE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546DD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8EDD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3C"/>
    <w:rsid w:val="000041A6"/>
    <w:rsid w:val="00017FDE"/>
    <w:rsid w:val="00030343"/>
    <w:rsid w:val="000A5DDC"/>
    <w:rsid w:val="00170E92"/>
    <w:rsid w:val="001D40B4"/>
    <w:rsid w:val="00220EB6"/>
    <w:rsid w:val="0022383C"/>
    <w:rsid w:val="002912EE"/>
    <w:rsid w:val="002C068C"/>
    <w:rsid w:val="003634BA"/>
    <w:rsid w:val="0038199E"/>
    <w:rsid w:val="0040307A"/>
    <w:rsid w:val="00446C95"/>
    <w:rsid w:val="004C0475"/>
    <w:rsid w:val="00525647"/>
    <w:rsid w:val="005623B9"/>
    <w:rsid w:val="005C734C"/>
    <w:rsid w:val="006C2F45"/>
    <w:rsid w:val="006C4086"/>
    <w:rsid w:val="00761696"/>
    <w:rsid w:val="00774781"/>
    <w:rsid w:val="007A3119"/>
    <w:rsid w:val="00882B35"/>
    <w:rsid w:val="008905A4"/>
    <w:rsid w:val="008F2C64"/>
    <w:rsid w:val="00954F21"/>
    <w:rsid w:val="009E7B7B"/>
    <w:rsid w:val="00A0491B"/>
    <w:rsid w:val="00A36229"/>
    <w:rsid w:val="00A57A4F"/>
    <w:rsid w:val="00AB3294"/>
    <w:rsid w:val="00B02E2F"/>
    <w:rsid w:val="00B33533"/>
    <w:rsid w:val="00B942CC"/>
    <w:rsid w:val="00C34A69"/>
    <w:rsid w:val="00CA0A62"/>
    <w:rsid w:val="00CC5147"/>
    <w:rsid w:val="00CF399F"/>
    <w:rsid w:val="00D26A4E"/>
    <w:rsid w:val="00D50556"/>
    <w:rsid w:val="00E40EF4"/>
    <w:rsid w:val="00E41823"/>
    <w:rsid w:val="00E85832"/>
    <w:rsid w:val="00F665E9"/>
    <w:rsid w:val="00F943D1"/>
    <w:rsid w:val="00FC0F8C"/>
    <w:rsid w:val="00FF74E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165F7-DADF-4B8E-80C3-5457CA47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4E1"/>
    <w:rPr>
      <w:rFonts w:ascii="Segoe UI" w:eastAsia="Calibri" w:hAnsi="Segoe UI" w:cs="Segoe UI"/>
      <w:color w:val="000000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5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533"/>
    <w:rPr>
      <w:rFonts w:ascii="Calibri" w:eastAsia="Calibri" w:hAnsi="Calibri" w:cs="Calibri"/>
      <w:i/>
      <w:iCs/>
      <w:color w:val="5B9BD5" w:themeColor="accent1"/>
    </w:rPr>
  </w:style>
  <w:style w:type="table" w:styleId="GridTable4-Accent1">
    <w:name w:val="Grid Table 4 Accent 1"/>
    <w:basedOn w:val="TableNormal"/>
    <w:uiPriority w:val="49"/>
    <w:rsid w:val="00882B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F943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4C04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4C04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4">
    <w:name w:val="Grid Table 3 Accent 4"/>
    <w:basedOn w:val="TableNormal"/>
    <w:uiPriority w:val="48"/>
    <w:rsid w:val="004C04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1Light">
    <w:name w:val="Grid Table 1 Light"/>
    <w:basedOn w:val="TableNormal"/>
    <w:uiPriority w:val="46"/>
    <w:rsid w:val="004C04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SADHANA EDUCATION SOCIETY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Debajit Sarkar</dc:creator>
  <cp:keywords/>
  <cp:lastModifiedBy>Sociology</cp:lastModifiedBy>
  <cp:revision>58</cp:revision>
  <cp:lastPrinted>2025-11-14T11:09:00Z</cp:lastPrinted>
  <dcterms:created xsi:type="dcterms:W3CDTF">2024-02-15T07:05:00Z</dcterms:created>
  <dcterms:modified xsi:type="dcterms:W3CDTF">2025-11-14T11:18:00Z</dcterms:modified>
</cp:coreProperties>
</file>